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center"/>
        <w:rPr>
          <w:rFonts w:ascii="Playfair Display SemiBold" w:cs="Playfair Display SemiBold" w:eastAsia="Playfair Display SemiBold" w:hAnsi="Playfair Display SemiBold"/>
          <w:i w:val="0"/>
          <w:iCs w:val="0"/>
          <w:smallCaps w:val="0"/>
          <w:strike w:val="0"/>
          <w:color w:val="000000"/>
          <w:sz w:val="18"/>
          <w:szCs w:val="18"/>
          <w:u w:val="none"/>
          <w:shd w:fill="auto" w:val="clear"/>
          <w:vertAlign w:val="baseline"/>
        </w:rPr>
      </w:pPr>
      <w:r w:rsidDel="00000000" w:rsidR="00000000" w:rsidRPr="00000000">
        <w:rPr>
          <w:rFonts w:ascii="Playfair Display SemiBold" w:cs="Playfair Display SemiBold" w:eastAsia="Playfair Display SemiBold" w:hAnsi="Playfair Display SemiBold"/>
          <w:color w:val="acd2cc"/>
          <w:sz w:val="40"/>
          <w:szCs w:val="40"/>
          <w:rtl w:val="0"/>
        </w:rPr>
        <w:t xml:space="preserve">Développer l’acquisition et la visibilité</w:t>
        <w:br w:type="textWrapping"/>
        <w:t xml:space="preserve">de son organisme de formation - 10</w:t>
      </w:r>
      <w:r w:rsidDel="00000000" w:rsidR="00000000" w:rsidRPr="00000000">
        <w:rPr>
          <w:rFonts w:ascii="Playfair Display SemiBold" w:cs="Playfair Display SemiBold" w:eastAsia="Playfair Display SemiBold" w:hAnsi="Playfair Display SemiBold"/>
          <w:i w:val="0"/>
          <w:iCs w:val="0"/>
          <w:smallCaps w:val="0"/>
          <w:strike w:val="0"/>
          <w:color w:val="acd2cc"/>
          <w:sz w:val="40"/>
          <w:szCs w:val="40"/>
          <w:u w:val="none"/>
          <w:shd w:fill="auto" w:val="clear"/>
          <w:vertAlign w:val="baseline"/>
          <w:rtl w:val="0"/>
        </w:rPr>
        <w:t xml:space="preserve">h</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left"/>
        <w:rPr>
          <w:rFonts w:ascii="Arial" w:cs="Arial" w:eastAsia="Arial" w:hAnsi="Arial"/>
          <w:color w:val="666666"/>
          <w:sz w:val="22"/>
          <w:szCs w:val="22"/>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Développer un organisme de formation ne repose plus uniquement sur la qualité pédagogique ou les certifications. Pour croître durablement, il est indispensable de structurer son positionnement, son parcours client et sa stratégie commerciale. Cette formation permet aux organismes de formation de comprendre les mécanismes d’acquisition, de clarifier leur offre et de construire un plan d’action concret pour développer leur activité.</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br w:type="textWrapping"/>
      </w:r>
      <w:r w:rsidDel="00000000" w:rsidR="00000000" w:rsidRPr="00000000">
        <w:rPr>
          <w:rFonts w:ascii="Arial" w:cs="Arial" w:eastAsia="Arial" w:hAnsi="Arial"/>
          <w:b w:val="1"/>
          <w:bCs w:val="1"/>
          <w:color w:val="acd2cc"/>
          <w:sz w:val="22"/>
          <w:szCs w:val="22"/>
          <w:rtl w:val="0"/>
        </w:rPr>
        <w:t xml:space="preserve">Durée: </w:t>
      </w:r>
      <w:r w:rsidDel="00000000" w:rsidR="00000000" w:rsidRPr="00000000">
        <w:rPr>
          <w:rFonts w:ascii="Arial" w:cs="Arial" w:eastAsia="Arial" w:hAnsi="Arial"/>
          <w:color w:val="666666"/>
          <w:sz w:val="22"/>
          <w:szCs w:val="22"/>
          <w:rtl w:val="0"/>
        </w:rPr>
        <w:t xml:space="preserve">10 heures (1,5 jour).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Modalités :</w:t>
      </w:r>
      <w:r w:rsidDel="00000000" w:rsidR="00000000" w:rsidRPr="00000000">
        <w:rPr>
          <w:rFonts w:ascii="Arial" w:cs="Arial" w:eastAsia="Arial" w:hAnsi="Arial"/>
          <w:color w:val="666666"/>
          <w:sz w:val="22"/>
          <w:szCs w:val="22"/>
          <w:rtl w:val="0"/>
        </w:rPr>
        <w:t xml:space="preserve"> blended-learning (9h e-learning + 1h de visio synchrone individuelle).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Tarif :</w:t>
      </w:r>
      <w:r w:rsidDel="00000000" w:rsidR="00000000" w:rsidRPr="00000000">
        <w:rPr>
          <w:rFonts w:ascii="Arial" w:cs="Arial" w:eastAsia="Arial" w:hAnsi="Arial"/>
          <w:color w:val="666666"/>
          <w:sz w:val="22"/>
          <w:szCs w:val="22"/>
          <w:rtl w:val="0"/>
        </w:rPr>
        <w:t xml:space="preserve"> à partir de 650€ (</w:t>
      </w:r>
      <w:r w:rsidDel="00000000" w:rsidR="00000000" w:rsidRPr="00000000">
        <w:rPr>
          <w:rFonts w:ascii="Arial" w:cs="Arial" w:eastAsia="Arial" w:hAnsi="Arial"/>
          <w:i w:val="1"/>
          <w:iCs w:val="1"/>
          <w:color w:val="666666"/>
          <w:sz w:val="22"/>
          <w:szCs w:val="22"/>
          <w:rtl w:val="0"/>
        </w:rPr>
        <w:t xml:space="preserve">exonéré de TVA — Art. 261.4.4 a du CGI</w:t>
      </w: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Profils des apprenants :</w:t>
      </w:r>
      <w:r w:rsidDel="00000000" w:rsidR="00000000" w:rsidRPr="00000000">
        <w:rPr>
          <w:rFonts w:ascii="Arial" w:cs="Arial" w:eastAsia="Arial" w:hAnsi="Arial"/>
          <w:color w:val="666666"/>
          <w:sz w:val="22"/>
          <w:szCs w:val="22"/>
          <w:rtl w:val="0"/>
        </w:rPr>
        <w:t xml:space="preserve"> Dirigeants et responsables d’organismes de formation souhaitant développer leur acquisition commerciale.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Prérequis :</w:t>
      </w:r>
      <w:r w:rsidDel="00000000" w:rsidR="00000000" w:rsidRPr="00000000">
        <w:rPr>
          <w:rFonts w:ascii="Arial" w:cs="Arial" w:eastAsia="Arial" w:hAnsi="Arial"/>
          <w:color w:val="666666"/>
          <w:sz w:val="22"/>
          <w:szCs w:val="22"/>
          <w:rtl w:val="0"/>
        </w:rPr>
        <w:t xml:space="preserve"> Être dirigeant d’un organisme de formation ou en charge de son développement commercial.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Modalités d’évaluation :</w:t>
      </w:r>
      <w:r w:rsidDel="00000000" w:rsidR="00000000" w:rsidRPr="00000000">
        <w:rPr>
          <w:rFonts w:ascii="Arial" w:cs="Arial" w:eastAsia="Arial" w:hAnsi="Arial"/>
          <w:color w:val="666666"/>
          <w:sz w:val="22"/>
          <w:szCs w:val="22"/>
          <w:rtl w:val="0"/>
        </w:rPr>
        <w:t xml:space="preserve"> réalisation de cas pratiques à chaque module, QCM, grille d’évaluation.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Méthodes mobilisées :</w:t>
      </w:r>
      <w:r w:rsidDel="00000000" w:rsidR="00000000" w:rsidRPr="00000000">
        <w:rPr>
          <w:rFonts w:ascii="Arial" w:cs="Arial" w:eastAsia="Arial" w:hAnsi="Arial"/>
          <w:color w:val="666666"/>
          <w:sz w:val="22"/>
          <w:szCs w:val="22"/>
          <w:rtl w:val="0"/>
        </w:rPr>
        <w:t xml:space="preserve"> supports vidéo, cas pratiques, ressources et templates téléchargeables.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acd2cc"/>
          <w:sz w:val="22"/>
          <w:szCs w:val="22"/>
          <w:rtl w:val="0"/>
        </w:rPr>
        <w:t xml:space="preserve">Délai d’accès :</w:t>
      </w:r>
      <w:r w:rsidDel="00000000" w:rsidR="00000000" w:rsidRPr="00000000">
        <w:rPr>
          <w:rFonts w:ascii="Arial" w:cs="Arial" w:eastAsia="Arial" w:hAnsi="Arial"/>
          <w:color w:val="666666"/>
          <w:sz w:val="22"/>
          <w:szCs w:val="22"/>
          <w:rtl w:val="0"/>
        </w:rPr>
        <w:t xml:space="preserve"> 15 jours.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b w:val="0"/>
          <w:bCs w:val="0"/>
          <w:color w:val="666666"/>
          <w:sz w:val="22"/>
          <w:szCs w:val="22"/>
        </w:rPr>
      </w:pPr>
      <w:r w:rsidDel="00000000" w:rsidR="00000000" w:rsidRPr="00000000">
        <w:rPr>
          <w:rFonts w:ascii="Arial" w:cs="Arial" w:eastAsia="Arial" w:hAnsi="Arial"/>
          <w:b w:val="1"/>
          <w:bCs w:val="1"/>
          <w:color w:val="acd2cc"/>
          <w:sz w:val="22"/>
          <w:szCs w:val="22"/>
          <w:rtl w:val="0"/>
        </w:rPr>
        <w:t xml:space="preserve">Accessibilité :</w:t>
      </w:r>
      <w:r w:rsidDel="00000000" w:rsidR="00000000" w:rsidRPr="00000000">
        <w:rPr>
          <w:rFonts w:ascii="Arial" w:cs="Arial" w:eastAsia="Arial" w:hAnsi="Arial"/>
          <w:color w:val="666666"/>
          <w:sz w:val="22"/>
          <w:szCs w:val="22"/>
          <w:rtl w:val="0"/>
        </w:rPr>
        <w:t xml:space="preserve"> voir le </w:t>
      </w:r>
      <w:hyperlink r:id="rId7">
        <w:r w:rsidDel="00000000" w:rsidR="00000000" w:rsidRPr="00000000">
          <w:rPr>
            <w:rFonts w:ascii="Arial" w:cs="Arial" w:eastAsia="Arial" w:hAnsi="Arial"/>
            <w:color w:val="acd2cc"/>
            <w:sz w:val="22"/>
            <w:szCs w:val="22"/>
            <w:rtl w:val="0"/>
          </w:rPr>
          <w:t xml:space="preserve">paragraphe accessibilité</w:t>
        </w:r>
      </w:hyperlink>
      <w:r w:rsidDel="00000000" w:rsidR="00000000" w:rsidRPr="00000000">
        <w:rPr>
          <w:rFonts w:ascii="Arial" w:cs="Arial" w:eastAsia="Arial" w:hAnsi="Arial"/>
          <w:color w:val="666666"/>
          <w:sz w:val="22"/>
          <w:szCs w:val="22"/>
          <w:rtl w:val="0"/>
        </w:rPr>
        <w:t xml:space="preserve"> de notre site.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color w:val="666666"/>
          <w:sz w:val="22"/>
          <w:szCs w:val="22"/>
        </w:rPr>
      </w:pPr>
      <w:r w:rsidDel="00000000" w:rsidR="00000000" w:rsidRPr="00000000">
        <w:rPr>
          <w:rtl w:val="0"/>
        </w:rPr>
      </w:r>
    </w:p>
    <w:tbl>
      <w:tblPr>
        <w:tblStyle w:val="Table1"/>
        <w:tblW w:w="10578.0" w:type="dxa"/>
        <w:jc w:val="left"/>
        <w:tblLayout w:type="fixed"/>
        <w:tblLook w:val="0400"/>
      </w:tblPr>
      <w:tblGrid>
        <w:gridCol w:w="10578"/>
        <w:tblGridChange w:id="0">
          <w:tblGrid>
            <w:gridCol w:w="10578"/>
          </w:tblGrid>
        </w:tblGridChange>
      </w:tblGrid>
      <w:tr>
        <w:trPr>
          <w:cantSplit w:val="0"/>
          <w:tblHeader w:val="0"/>
        </w:trPr>
        <w:tc>
          <w:tcPr>
            <w:shd w:fill="acd2cc" w:val="clear"/>
            <w:tcMar>
              <w:top w:w="80.0" w:type="dxa"/>
              <w:left w:w="80.0" w:type="dxa"/>
              <w:bottom w:w="80.0" w:type="dxa"/>
              <w:right w:w="80.0" w:type="dxa"/>
            </w:tcM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ffffff"/>
                <w:sz w:val="22"/>
                <w:szCs w:val="22"/>
              </w:rPr>
            </w:pPr>
            <w:r w:rsidDel="00000000" w:rsidR="00000000" w:rsidRPr="00000000">
              <w:rPr>
                <w:rFonts w:ascii="Arial" w:cs="Arial" w:eastAsia="Arial" w:hAnsi="Arial"/>
                <w:b w:val="1"/>
                <w:bCs w:val="1"/>
                <w:color w:val="ffffff"/>
                <w:sz w:val="22"/>
                <w:szCs w:val="22"/>
                <w:rtl w:val="0"/>
              </w:rPr>
              <w:t xml:space="preserve">Objectifs pédagogiques</w:t>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Analyser le marché et le positionnement concurrentiel de son organisme de formation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Identifier précisément sa cible et ses leviers décisionnels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Définir une offre commerciale attractive et différenciante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Construire un tunnel d’acquisition adapté à son organisme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Sélectionner et prioriser des leviers d’acquisition cohérents avec ses ressources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Élaborer un plan d’action d’acquisition structuré sur 90 jours</w:t>
        <w:br w:type="textWrapping"/>
      </w:r>
    </w:p>
    <w:tbl>
      <w:tblPr>
        <w:tblStyle w:val="Table2"/>
        <w:tblW w:w="10578.0" w:type="dxa"/>
        <w:jc w:val="left"/>
        <w:tblLayout w:type="fixed"/>
        <w:tblLook w:val="0400"/>
      </w:tblPr>
      <w:tblGrid>
        <w:gridCol w:w="10578"/>
        <w:tblGridChange w:id="0">
          <w:tblGrid>
            <w:gridCol w:w="10578"/>
          </w:tblGrid>
        </w:tblGridChange>
      </w:tblGrid>
      <w:tr>
        <w:trPr>
          <w:cantSplit w:val="0"/>
          <w:tblHeader w:val="0"/>
        </w:trPr>
        <w:tc>
          <w:tcPr>
            <w:shd w:fill="acd2cc" w:val="clear"/>
            <w:tcMar>
              <w:top w:w="80.0" w:type="dxa"/>
              <w:left w:w="80.0" w:type="dxa"/>
              <w:bottom w:w="80.0" w:type="dxa"/>
              <w:right w:w="8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ffffff"/>
                <w:sz w:val="22"/>
                <w:szCs w:val="22"/>
              </w:rPr>
            </w:pPr>
            <w:r w:rsidDel="00000000" w:rsidR="00000000" w:rsidRPr="00000000">
              <w:rPr>
                <w:rFonts w:ascii="Arial" w:cs="Arial" w:eastAsia="Arial" w:hAnsi="Arial"/>
                <w:b w:val="1"/>
                <w:bCs w:val="1"/>
                <w:color w:val="ffffff"/>
                <w:sz w:val="22"/>
                <w:szCs w:val="22"/>
                <w:rtl w:val="0"/>
              </w:rPr>
              <w:t xml:space="preserve">Contenu de la formation</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1 : Connaître sa cible et son marché</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Connaître les différents publics de formation et définir ses cibles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Construire un persona stratégique intégrant les besoins en compétences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Cartographier le parcours d’achat d’un apprenant ou décideur RH</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color w:val="666666"/>
          <w:sz w:val="22"/>
          <w:szCs w:val="22"/>
          <w:rtl w:val="0"/>
        </w:rPr>
        <w:t xml:space="preserve">Identifier les décideurs et déclencheurs de sa cible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Analyser le marché et la concurrence de son organisme</w:t>
      </w:r>
      <w:r w:rsidDel="00000000" w:rsidR="00000000" w:rsidRPr="00000000">
        <w:rPr>
          <w:rFonts w:ascii="Arial" w:cs="Arial" w:eastAsia="Arial" w:hAnsi="Arial"/>
          <w:b w:val="1"/>
          <w:bCs w:val="1"/>
          <w:i w:val="1"/>
          <w:iCs w:val="1"/>
          <w:color w:val="74a09c"/>
          <w:sz w:val="22"/>
          <w:szCs w:val="22"/>
          <w:rtl w:val="0"/>
        </w:rPr>
        <w:t xml:space="preserve"> </w:t>
      </w:r>
      <w:r w:rsidDel="00000000" w:rsidR="00000000" w:rsidRPr="00000000">
        <w:rPr>
          <w:rFonts w:ascii="Arial" w:cs="Arial" w:eastAsia="Arial" w:hAnsi="Arial"/>
          <w:b w:val="1"/>
          <w:bCs w:val="1"/>
          <w:i w:val="1"/>
          <w:iCs w:val="1"/>
          <w:color w:val="acd2cc"/>
          <w:sz w:val="22"/>
          <w:szCs w:val="22"/>
          <w:rtl w:val="0"/>
        </w:rPr>
        <w:t xml:space="preserve">(+ : template de benchmark)</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Identifier des opportunités de différenciation : 6 axes différenciants pour les OF</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right="0"/>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2 : Comprendre les mécanismes d’acquisition d’un organisme de formation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Les différentes étapes d’un tunnel adapté à la vente de formation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Niveaux de conscience et maturité d’un prospect face à la formation</w:t>
      </w:r>
    </w:p>
    <w:p w:rsidR="00000000" w:rsidDel="00000000" w:rsidP="00000000" w:rsidRDefault="00000000" w:rsidRPr="00000000" w14:paraId="00000024">
      <w:pPr>
        <w:numPr>
          <w:ilvl w:val="0"/>
          <w:numId w:val="1"/>
        </w:numPr>
        <w:spacing w:before="15" w:lineRule="auto"/>
        <w:ind w:left="72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Identifier les intentions de recherche et requêtes de sa cible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Diagnostic de maturité marketing de son organisme</w:t>
      </w:r>
      <w:r w:rsidDel="00000000" w:rsidR="00000000" w:rsidRPr="00000000">
        <w:rPr>
          <w:rFonts w:ascii="Arial" w:cs="Arial" w:eastAsia="Arial" w:hAnsi="Arial"/>
          <w:b w:val="1"/>
          <w:bCs w:val="1"/>
          <w:i w:val="1"/>
          <w:iCs w:val="1"/>
          <w:color w:val="74a09c"/>
          <w:sz w:val="22"/>
          <w:szCs w:val="22"/>
          <w:rtl w:val="0"/>
        </w:rPr>
        <w:t xml:space="preserve"> </w:t>
      </w:r>
      <w:r w:rsidDel="00000000" w:rsidR="00000000" w:rsidRPr="00000000">
        <w:rPr>
          <w:rFonts w:ascii="Arial" w:cs="Arial" w:eastAsia="Arial" w:hAnsi="Arial"/>
          <w:b w:val="1"/>
          <w:bCs w:val="1"/>
          <w:i w:val="1"/>
          <w:iCs w:val="1"/>
          <w:color w:val="acd2cc"/>
          <w:sz w:val="22"/>
          <w:szCs w:val="22"/>
          <w:rtl w:val="0"/>
        </w:rPr>
        <w:t xml:space="preserve">(+ : grille d’auto-évaluation)</w:t>
      </w:r>
    </w:p>
    <w:p w:rsidR="00000000" w:rsidDel="00000000" w:rsidP="00000000" w:rsidRDefault="00000000" w:rsidRPr="00000000" w14:paraId="00000026">
      <w:pPr>
        <w:numPr>
          <w:ilvl w:val="0"/>
          <w:numId w:val="1"/>
        </w:numPr>
        <w:spacing w:before="15" w:lineRule="auto"/>
        <w:ind w:left="72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Connaître les leviers de financement pour conseiller et accompagner les prospects</w:t>
      </w:r>
      <w:r w:rsidDel="00000000" w:rsidR="00000000" w:rsidRPr="00000000">
        <w:rPr>
          <w:rFonts w:ascii="Arial" w:cs="Arial" w:eastAsia="Arial" w:hAnsi="Arial"/>
          <w:b w:val="1"/>
          <w:bCs w:val="1"/>
          <w:i w:val="1"/>
          <w:iCs w:val="1"/>
          <w:color w:val="acd2cc"/>
          <w:sz w:val="22"/>
          <w:szCs w:val="22"/>
          <w:rtl w:val="0"/>
        </w:rPr>
        <w:t xml:space="preserve"> (+ : fiche récap’ des financements)</w:t>
      </w:r>
    </w:p>
    <w:p w:rsidR="00000000" w:rsidDel="00000000" w:rsidP="00000000" w:rsidRDefault="00000000" w:rsidRPr="00000000" w14:paraId="00000027">
      <w:pPr>
        <w:spacing w:before="15" w:lineRule="auto"/>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3 : Structurer et valoriser son offre de formation </w:t>
      </w:r>
    </w:p>
    <w:p w:rsidR="00000000" w:rsidDel="00000000" w:rsidP="00000000" w:rsidRDefault="00000000" w:rsidRPr="00000000" w14:paraId="00000029">
      <w:pPr>
        <w:numPr>
          <w:ilvl w:val="0"/>
          <w:numId w:val="1"/>
        </w:numPr>
        <w:spacing w:before="15" w:lineRule="auto"/>
        <w:ind w:left="72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Clarifier sa proposition de valeur pédagogique</w:t>
      </w:r>
    </w:p>
    <w:p w:rsidR="00000000" w:rsidDel="00000000" w:rsidP="00000000" w:rsidRDefault="00000000" w:rsidRPr="00000000" w14:paraId="0000002A">
      <w:pPr>
        <w:numPr>
          <w:ilvl w:val="0"/>
          <w:numId w:val="1"/>
        </w:numPr>
        <w:spacing w:before="15" w:lineRule="auto"/>
        <w:ind w:left="720" w:hanging="360"/>
        <w:jc w:val="both"/>
        <w:rPr>
          <w:rFonts w:ascii="Arial" w:cs="Arial" w:eastAsia="Arial" w:hAnsi="Arial"/>
          <w:sz w:val="22"/>
          <w:szCs w:val="22"/>
          <w:u w:val="none"/>
        </w:rPr>
      </w:pPr>
      <w:r w:rsidDel="00000000" w:rsidR="00000000" w:rsidRPr="00000000">
        <w:rPr>
          <w:rFonts w:ascii="Arial" w:cs="Arial" w:eastAsia="Arial" w:hAnsi="Arial"/>
          <w:color w:val="666666"/>
          <w:sz w:val="22"/>
          <w:szCs w:val="22"/>
          <w:rtl w:val="0"/>
        </w:rPr>
        <w:t xml:space="preserve">Définir un positionnement cohérent avec son expertise métier et sa promesse marketing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Fixer son tarif : 6 stratégies tarifaires applicables aux OF</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Structurer l’offre commerciale de son organisme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color w:val="666666"/>
          <w:sz w:val="22"/>
          <w:szCs w:val="22"/>
          <w:rtl w:val="0"/>
        </w:rPr>
        <w:t xml:space="preserve">Mettre en valeur son offre de formation : argumentaire, communication et supports commerciaux</w:t>
      </w:r>
      <w:r w:rsidDel="00000000" w:rsidR="00000000" w:rsidRPr="00000000">
        <w:rPr>
          <w:rFonts w:ascii="Arial" w:cs="Arial" w:eastAsia="Arial" w:hAnsi="Arial"/>
          <w:b w:val="1"/>
          <w:bCs w:val="1"/>
          <w:i w:val="1"/>
          <w:iCs w:val="1"/>
          <w:color w:val="74a09c"/>
          <w:sz w:val="22"/>
          <w:szCs w:val="22"/>
          <w:rtl w:val="0"/>
        </w:rPr>
        <w:t xml:space="preserve"> </w:t>
      </w:r>
      <w:r w:rsidDel="00000000" w:rsidR="00000000" w:rsidRPr="00000000">
        <w:rPr>
          <w:rFonts w:ascii="Arial" w:cs="Arial" w:eastAsia="Arial" w:hAnsi="Arial"/>
          <w:b w:val="1"/>
          <w:bCs w:val="1"/>
          <w:i w:val="1"/>
          <w:iCs w:val="1"/>
          <w:color w:val="acd2cc"/>
          <w:sz w:val="22"/>
          <w:szCs w:val="22"/>
          <w:rtl w:val="0"/>
        </w:rPr>
        <w:t xml:space="preserve">(+ : template de programme, structure de landing page)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right="0"/>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4 : Construire un tunnel d’acquisition adapté à la formation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Comprendre le fonctionnement d’un tunnel d’acquisition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Tunnel court vs tunnel long, adapté à la typologie de formation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Identifier les points d’entrée pertinents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Structurer le parcours prospect jusqu’à la contractualisation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Définir ses points de conversion mesurables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right="0"/>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5 : Définir ses leviers d’acquisition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Stratégie inbound, stratégie outbound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Panorama des différents leviers d’acquisition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Comment choisir des leviers adaptés à son organisme </w:t>
      </w:r>
      <w:r w:rsidDel="00000000" w:rsidR="00000000" w:rsidRPr="00000000">
        <w:rPr>
          <w:rFonts w:ascii="Arial" w:cs="Arial" w:eastAsia="Arial" w:hAnsi="Arial"/>
          <w:b w:val="1"/>
          <w:bCs w:val="1"/>
          <w:i w:val="1"/>
          <w:iCs w:val="1"/>
          <w:color w:val="acd2cc"/>
          <w:sz w:val="22"/>
          <w:szCs w:val="22"/>
          <w:rtl w:val="0"/>
        </w:rPr>
        <w:t xml:space="preserve">(+ : matrice de décision)</w:t>
      </w:r>
    </w:p>
    <w:p w:rsidR="00000000" w:rsidDel="00000000" w:rsidP="00000000" w:rsidRDefault="00000000" w:rsidRPr="00000000" w14:paraId="0000003A">
      <w:pPr>
        <w:numPr>
          <w:ilvl w:val="0"/>
          <w:numId w:val="1"/>
        </w:numPr>
        <w:spacing w:before="15" w:lineRule="auto"/>
        <w:ind w:left="72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Déterminer un levier principal et des leviers secondaires pour sa cible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u w:val="none"/>
        </w:rPr>
      </w:pPr>
      <w:r w:rsidDel="00000000" w:rsidR="00000000" w:rsidRPr="00000000">
        <w:rPr>
          <w:rFonts w:ascii="Arial" w:cs="Arial" w:eastAsia="Arial" w:hAnsi="Arial"/>
          <w:color w:val="666666"/>
          <w:sz w:val="22"/>
          <w:szCs w:val="22"/>
          <w:rtl w:val="0"/>
        </w:rPr>
        <w:t xml:space="preserve">8 stratégies d’acquisition adaptées aux OF</w:t>
      </w:r>
      <w:r w:rsidDel="00000000" w:rsidR="00000000" w:rsidRPr="00000000">
        <w:rPr>
          <w:rFonts w:ascii="Arial" w:cs="Arial" w:eastAsia="Arial" w:hAnsi="Arial"/>
          <w:b w:val="1"/>
          <w:bCs w:val="1"/>
          <w:i w:val="1"/>
          <w:iCs w:val="1"/>
          <w:color w:val="74a09c"/>
          <w:sz w:val="22"/>
          <w:szCs w:val="22"/>
          <w:rtl w:val="0"/>
        </w:rPr>
        <w:t xml:space="preserve"> </w:t>
      </w:r>
      <w:r w:rsidDel="00000000" w:rsidR="00000000" w:rsidRPr="00000000">
        <w:rPr>
          <w:rFonts w:ascii="Arial" w:cs="Arial" w:eastAsia="Arial" w:hAnsi="Arial"/>
          <w:b w:val="1"/>
          <w:bCs w:val="1"/>
          <w:i w:val="1"/>
          <w:iCs w:val="1"/>
          <w:color w:val="acd2cc"/>
          <w:sz w:val="22"/>
          <w:szCs w:val="22"/>
          <w:rtl w:val="0"/>
        </w:rPr>
        <w:t xml:space="preserve">(+ : template de tunnel d’acquisition)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 w:line="240" w:lineRule="auto"/>
        <w:ind w:right="0"/>
        <w:jc w:val="both"/>
        <w:rPr>
          <w:rFonts w:ascii="Arial" w:cs="Arial" w:eastAsia="Arial" w:hAnsi="Arial"/>
          <w:color w:val="666666"/>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Module 6 : Construire son plan d’action sur 90 jours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Fixer des objectifs réalistes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Définir des indicateurs de performance simples et adaptés aux OF </w:t>
      </w:r>
      <w:r w:rsidDel="00000000" w:rsidR="00000000" w:rsidRPr="00000000">
        <w:rPr>
          <w:rFonts w:ascii="Arial" w:cs="Arial" w:eastAsia="Arial" w:hAnsi="Arial"/>
          <w:b w:val="1"/>
          <w:bCs w:val="1"/>
          <w:i w:val="1"/>
          <w:iCs w:val="1"/>
          <w:color w:val="acd2cc"/>
          <w:sz w:val="22"/>
          <w:szCs w:val="22"/>
          <w:rtl w:val="0"/>
        </w:rPr>
        <w:t xml:space="preserve">(+ : template de reporting)</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Prioriser les actions à fort impact </w:t>
      </w:r>
      <w:r w:rsidDel="00000000" w:rsidR="00000000" w:rsidRPr="00000000">
        <w:rPr>
          <w:rFonts w:ascii="Arial" w:cs="Arial" w:eastAsia="Arial" w:hAnsi="Arial"/>
          <w:b w:val="1"/>
          <w:bCs w:val="1"/>
          <w:i w:val="1"/>
          <w:iCs w:val="1"/>
          <w:color w:val="acd2cc"/>
          <w:sz w:val="22"/>
          <w:szCs w:val="22"/>
          <w:rtl w:val="0"/>
        </w:rPr>
        <w:t xml:space="preserve">(+ : matrice de priorisation)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color w:val="666666"/>
          <w:sz w:val="22"/>
          <w:szCs w:val="22"/>
          <w:rtl w:val="0"/>
        </w:rPr>
        <w:t xml:space="preserve">Séquencer le développement commercial sur la durée </w:t>
      </w:r>
      <w:r w:rsidDel="00000000" w:rsidR="00000000" w:rsidRPr="00000000">
        <w:rPr>
          <w:rFonts w:ascii="Arial" w:cs="Arial" w:eastAsia="Arial" w:hAnsi="Arial"/>
          <w:b w:val="1"/>
          <w:bCs w:val="1"/>
          <w:i w:val="1"/>
          <w:iCs w:val="1"/>
          <w:color w:val="acd2cc"/>
          <w:sz w:val="22"/>
          <w:szCs w:val="22"/>
          <w:rtl w:val="0"/>
        </w:rPr>
        <w:t xml:space="preserve">(+ : template de roadmap 90j)</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right="0"/>
        <w:jc w:val="both"/>
        <w:rPr>
          <w:rFonts w:ascii="Arial" w:cs="Arial" w:eastAsia="Arial" w:hAnsi="Arial"/>
          <w:b w:val="1"/>
          <w:bCs w:val="1"/>
          <w:color w:val="74a09c"/>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tbl>
      <w:tblPr>
        <w:tblStyle w:val="Table3"/>
        <w:tblW w:w="10578.0" w:type="dxa"/>
        <w:jc w:val="left"/>
        <w:tblLayout w:type="fixed"/>
        <w:tblLook w:val="0400"/>
      </w:tblPr>
      <w:tblGrid>
        <w:gridCol w:w="10578"/>
        <w:tblGridChange w:id="0">
          <w:tblGrid>
            <w:gridCol w:w="10578"/>
          </w:tblGrid>
        </w:tblGridChange>
      </w:tblGrid>
      <w:tr>
        <w:trPr>
          <w:cantSplit w:val="0"/>
          <w:tblHeader w:val="0"/>
        </w:trPr>
        <w:tc>
          <w:tcPr>
            <w:shd w:fill="acd2cc" w:val="clear"/>
            <w:tcMar>
              <w:top w:w="80.0" w:type="dxa"/>
              <w:left w:w="80.0" w:type="dxa"/>
              <w:bottom w:w="80.0" w:type="dxa"/>
              <w:right w:w="80.0" w:type="dxa"/>
            </w:tcM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b w:val="1"/>
                <w:bCs w:val="1"/>
                <w:color w:val="ffffff"/>
                <w:sz w:val="22"/>
                <w:szCs w:val="22"/>
                <w:rtl w:val="0"/>
              </w:rPr>
              <w:t xml:space="preserve">Organisation de la formation</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Equipe pédagogique</w:t>
      </w:r>
    </w:p>
    <w:p w:rsidR="00000000" w:rsidDel="00000000" w:rsidP="00000000" w:rsidRDefault="00000000" w:rsidRPr="00000000" w14:paraId="00000047">
      <w:pPr>
        <w:spacing w:after="30" w:before="15" w:lineRule="auto"/>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Johanna Di Giorgio, dirigeante d’OF et experte en communication digitale avec plus de 15 ans d’expérience.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Moyens pédagogiques et techniques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Plateforme e-learning.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Supports vidéos, études de cas, ressources PDF, templates à compléter.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b w:val="1"/>
          <w:bCs w:val="1"/>
          <w:color w:val="74a09c"/>
          <w:sz w:val="22"/>
          <w:szCs w:val="22"/>
        </w:rPr>
      </w:pPr>
      <w:r w:rsidDel="00000000" w:rsidR="00000000" w:rsidRPr="00000000">
        <w:rPr>
          <w:rFonts w:ascii="Arial" w:cs="Arial" w:eastAsia="Arial" w:hAnsi="Arial"/>
          <w:b w:val="1"/>
          <w:bCs w:val="1"/>
          <w:color w:val="74a09c"/>
          <w:sz w:val="22"/>
          <w:szCs w:val="22"/>
          <w:rtl w:val="0"/>
        </w:rPr>
        <w:t xml:space="preserve">Dispositif de suivi de l'exécution de l'évaluation des résultats de la formation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Feuilles de présence et logs de connexion.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Mises en application et exercices d'évaluation tout au long de la formation.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Formulaires d'évaluation de la satisfaction de la formation.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Certificat de réalisation de l’action de formation.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both"/>
        <w:rPr>
          <w:rFonts w:ascii="Arial" w:cs="Arial" w:eastAsia="Arial" w:hAnsi="Arial"/>
          <w:color w:val="666666"/>
          <w:sz w:val="22"/>
          <w:szCs w:val="22"/>
        </w:rPr>
      </w:pPr>
      <w:r w:rsidDel="00000000" w:rsidR="00000000" w:rsidRPr="00000000">
        <w:rPr>
          <w:rFonts w:ascii="Arial" w:cs="Arial" w:eastAsia="Arial" w:hAnsi="Arial"/>
          <w:color w:val="666666"/>
          <w:sz w:val="22"/>
          <w:szCs w:val="22"/>
          <w:rtl w:val="0"/>
        </w:rPr>
        <w:t xml:space="preserve"> </w:t>
      </w:r>
    </w:p>
    <w:sectPr>
      <w:headerReference r:id="rId8" w:type="default"/>
      <w:headerReference r:id="rId9" w:type="first"/>
      <w:footerReference r:id="rId10" w:type="default"/>
      <w:footerReference r:id="rId11" w:type="first"/>
      <w:pgSz w:h="16838" w:w="11906" w:orient="portrait"/>
      <w:pgMar w:bottom="340" w:top="510" w:left="624" w:right="624" w:header="510"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Playfair Display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30" w:before="15" w:lineRule="auto"/>
      <w:jc w:val="center"/>
      <w:rPr>
        <w:rFonts w:ascii="Calibri" w:cs="Calibri" w:eastAsia="Calibri" w:hAnsi="Calibri"/>
        <w:color w:val="acd2cc"/>
        <w:sz w:val="18"/>
        <w:szCs w:val="18"/>
      </w:rPr>
    </w:pPr>
    <w:r w:rsidDel="00000000" w:rsidR="00000000" w:rsidRPr="00000000">
      <w:rPr>
        <w:rFonts w:ascii="Calibri" w:cs="Calibri" w:eastAsia="Calibri" w:hAnsi="Calibri"/>
        <w:color w:val="999999"/>
        <w:sz w:val="18"/>
        <w:szCs w:val="18"/>
        <w:rtl w:val="0"/>
      </w:rPr>
      <w:t xml:space="preserve">DGTAL Consulting - 29 lot de l’Ouvière 13710 Fuveau - </w:t>
    </w:r>
    <w:hyperlink r:id="rId1">
      <w:r w:rsidDel="00000000" w:rsidR="00000000" w:rsidRPr="00000000">
        <w:rPr>
          <w:rFonts w:ascii="Calibri" w:cs="Calibri" w:eastAsia="Calibri" w:hAnsi="Calibri"/>
          <w:color w:val="acd2cc"/>
          <w:sz w:val="18"/>
          <w:szCs w:val="18"/>
          <w:u w:val="single"/>
          <w:rtl w:val="0"/>
        </w:rPr>
        <w:t xml:space="preserve">www.dgtal-consulting.fr</w:t>
      </w:r>
    </w:hyperlink>
    <w:r w:rsidDel="00000000" w:rsidR="00000000" w:rsidRPr="00000000">
      <w:rPr>
        <w:rFonts w:ascii="Calibri" w:cs="Calibri" w:eastAsia="Calibri" w:hAnsi="Calibri"/>
        <w:color w:val="acd2cc"/>
        <w:sz w:val="18"/>
        <w:szCs w:val="18"/>
        <w:rtl w:val="0"/>
      </w:rPr>
      <w:t xml:space="preserve"> </w:t>
    </w:r>
    <w:r w:rsidDel="00000000" w:rsidR="00000000" w:rsidRPr="00000000">
      <w:rPr>
        <w:rFonts w:ascii="Calibri" w:cs="Calibri" w:eastAsia="Calibri" w:hAnsi="Calibri"/>
        <w:color w:val="999999"/>
        <w:sz w:val="18"/>
        <w:szCs w:val="18"/>
        <w:rtl w:val="0"/>
      </w:rPr>
      <w:t xml:space="preserve">-</w:t>
    </w:r>
    <w:r w:rsidDel="00000000" w:rsidR="00000000" w:rsidRPr="00000000">
      <w:rPr>
        <w:rFonts w:ascii="Calibri" w:cs="Calibri" w:eastAsia="Calibri" w:hAnsi="Calibri"/>
        <w:color w:val="acd2cc"/>
        <w:sz w:val="18"/>
        <w:szCs w:val="18"/>
        <w:rtl w:val="0"/>
      </w:rPr>
      <w:t xml:space="preserve"> </w:t>
    </w:r>
    <w:hyperlink r:id="rId2">
      <w:r w:rsidDel="00000000" w:rsidR="00000000" w:rsidRPr="00000000">
        <w:rPr>
          <w:rFonts w:ascii="Calibri" w:cs="Calibri" w:eastAsia="Calibri" w:hAnsi="Calibri"/>
          <w:color w:val="acd2cc"/>
          <w:sz w:val="18"/>
          <w:szCs w:val="18"/>
          <w:u w:val="single"/>
          <w:rtl w:val="0"/>
        </w:rPr>
        <w:t xml:space="preserve">formation@dgtal-consulting.fr</w:t>
      </w:r>
    </w:hyperlink>
    <w:r w:rsidDel="00000000" w:rsidR="00000000" w:rsidRPr="00000000">
      <w:rPr>
        <w:rFonts w:ascii="Calibri" w:cs="Calibri" w:eastAsia="Calibri" w:hAnsi="Calibri"/>
        <w:color w:val="acd2cc"/>
        <w:sz w:val="18"/>
        <w:szCs w:val="18"/>
        <w:rtl w:val="0"/>
      </w:rPr>
      <w:t xml:space="preserve"> </w:t>
    </w:r>
  </w:p>
  <w:p w:rsidR="00000000" w:rsidDel="00000000" w:rsidP="00000000" w:rsidRDefault="00000000" w:rsidRPr="00000000" w14:paraId="0000005D">
    <w:pPr>
      <w:spacing w:after="30" w:before="15" w:lineRule="auto"/>
      <w:jc w:val="cente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SIRET: 90142436600028 - NDA : 93131925813 - Cet enregistrement ne vaut pas l'agrément de l'État</w:t>
    </w:r>
  </w:p>
  <w:p w:rsidR="00000000" w:rsidDel="00000000" w:rsidP="00000000" w:rsidRDefault="00000000" w:rsidRPr="00000000" w14:paraId="0000005E">
    <w:pPr>
      <w:spacing w:after="30" w:before="15" w:lineRule="auto"/>
      <w:jc w:val="center"/>
      <w:rPr>
        <w:rFonts w:ascii="Calibri" w:cs="Calibri" w:eastAsia="Calibri" w:hAnsi="Calibri"/>
        <w:i w:val="1"/>
        <w:iCs w:val="1"/>
        <w:color w:val="999999"/>
        <w:sz w:val="16"/>
        <w:szCs w:val="16"/>
      </w:rPr>
    </w:pPr>
    <w:r w:rsidDel="00000000" w:rsidR="00000000" w:rsidRPr="00000000">
      <w:rPr>
        <w:rFonts w:ascii="Calibri" w:cs="Calibri" w:eastAsia="Calibri" w:hAnsi="Calibri"/>
        <w:i w:val="1"/>
        <w:iCs w:val="1"/>
        <w:color w:val="999999"/>
        <w:sz w:val="16"/>
        <w:szCs w:val="16"/>
        <w:rtl w:val="0"/>
      </w:rPr>
      <w:t xml:space="preserve">V1-0226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30" w:before="15" w:lineRule="auto"/>
      <w:jc w:val="center"/>
      <w:rPr>
        <w:rFonts w:ascii="Calibri" w:cs="Calibri" w:eastAsia="Calibri" w:hAnsi="Calibri"/>
        <w:color w:val="acd2cc"/>
        <w:sz w:val="18"/>
        <w:szCs w:val="18"/>
      </w:rPr>
    </w:pPr>
    <w:r w:rsidDel="00000000" w:rsidR="00000000" w:rsidRPr="00000000">
      <w:rPr>
        <w:rFonts w:ascii="Calibri" w:cs="Calibri" w:eastAsia="Calibri" w:hAnsi="Calibri"/>
        <w:color w:val="999999"/>
        <w:sz w:val="18"/>
        <w:szCs w:val="18"/>
        <w:rtl w:val="0"/>
      </w:rPr>
      <w:t xml:space="preserve">DGTAL Consulting - 29 lot de l’Ouvière 13710 Fuveau - </w:t>
    </w:r>
    <w:hyperlink r:id="rId1">
      <w:r w:rsidDel="00000000" w:rsidR="00000000" w:rsidRPr="00000000">
        <w:rPr>
          <w:rFonts w:ascii="Calibri" w:cs="Calibri" w:eastAsia="Calibri" w:hAnsi="Calibri"/>
          <w:color w:val="acd2cc"/>
          <w:sz w:val="18"/>
          <w:szCs w:val="18"/>
          <w:u w:val="single"/>
          <w:rtl w:val="0"/>
        </w:rPr>
        <w:t xml:space="preserve">www.dgtal-consulting.fr</w:t>
      </w:r>
    </w:hyperlink>
    <w:r w:rsidDel="00000000" w:rsidR="00000000" w:rsidRPr="00000000">
      <w:rPr>
        <w:rFonts w:ascii="Calibri" w:cs="Calibri" w:eastAsia="Calibri" w:hAnsi="Calibri"/>
        <w:color w:val="acd2cc"/>
        <w:sz w:val="18"/>
        <w:szCs w:val="18"/>
        <w:rtl w:val="0"/>
      </w:rPr>
      <w:t xml:space="preserve"> </w:t>
    </w:r>
    <w:r w:rsidDel="00000000" w:rsidR="00000000" w:rsidRPr="00000000">
      <w:rPr>
        <w:rFonts w:ascii="Calibri" w:cs="Calibri" w:eastAsia="Calibri" w:hAnsi="Calibri"/>
        <w:color w:val="999999"/>
        <w:sz w:val="18"/>
        <w:szCs w:val="18"/>
        <w:rtl w:val="0"/>
      </w:rPr>
      <w:t xml:space="preserve">-</w:t>
    </w:r>
    <w:r w:rsidDel="00000000" w:rsidR="00000000" w:rsidRPr="00000000">
      <w:rPr>
        <w:rFonts w:ascii="Calibri" w:cs="Calibri" w:eastAsia="Calibri" w:hAnsi="Calibri"/>
        <w:color w:val="acd2cc"/>
        <w:sz w:val="18"/>
        <w:szCs w:val="18"/>
        <w:rtl w:val="0"/>
      </w:rPr>
      <w:t xml:space="preserve"> </w:t>
    </w:r>
    <w:hyperlink r:id="rId2">
      <w:r w:rsidDel="00000000" w:rsidR="00000000" w:rsidRPr="00000000">
        <w:rPr>
          <w:rFonts w:ascii="Calibri" w:cs="Calibri" w:eastAsia="Calibri" w:hAnsi="Calibri"/>
          <w:color w:val="acd2cc"/>
          <w:sz w:val="18"/>
          <w:szCs w:val="18"/>
          <w:u w:val="single"/>
          <w:rtl w:val="0"/>
        </w:rPr>
        <w:t xml:space="preserve">formation@dgtal-consulting.fr</w:t>
      </w:r>
    </w:hyperlink>
    <w:r w:rsidDel="00000000" w:rsidR="00000000" w:rsidRPr="00000000">
      <w:rPr>
        <w:rFonts w:ascii="Calibri" w:cs="Calibri" w:eastAsia="Calibri" w:hAnsi="Calibri"/>
        <w:color w:val="acd2cc"/>
        <w:sz w:val="18"/>
        <w:szCs w:val="18"/>
        <w:rtl w:val="0"/>
      </w:rPr>
      <w:t xml:space="preserve"> </w:t>
    </w:r>
  </w:p>
  <w:p w:rsidR="00000000" w:rsidDel="00000000" w:rsidP="00000000" w:rsidRDefault="00000000" w:rsidRPr="00000000" w14:paraId="00000060">
    <w:pPr>
      <w:spacing w:after="30" w:before="15" w:lineRule="auto"/>
      <w:jc w:val="center"/>
      <w:rPr>
        <w:rFonts w:ascii="Calibri" w:cs="Calibri" w:eastAsia="Calibri" w:hAnsi="Calibri"/>
        <w:color w:val="999999"/>
        <w:sz w:val="18"/>
        <w:szCs w:val="18"/>
      </w:rPr>
    </w:pPr>
    <w:r w:rsidDel="00000000" w:rsidR="00000000" w:rsidRPr="00000000">
      <w:rPr>
        <w:rFonts w:ascii="Calibri" w:cs="Calibri" w:eastAsia="Calibri" w:hAnsi="Calibri"/>
        <w:color w:val="999999"/>
        <w:sz w:val="18"/>
        <w:szCs w:val="18"/>
        <w:rtl w:val="0"/>
      </w:rPr>
      <w:t xml:space="preserve">SIRET: 90142436600028 - NDA : 93131925813 - Cet enregistrement ne vaut pas l'agrément de l'État</w:t>
    </w:r>
  </w:p>
  <w:p w:rsidR="00000000" w:rsidDel="00000000" w:rsidP="00000000" w:rsidRDefault="00000000" w:rsidRPr="00000000" w14:paraId="00000061">
    <w:pPr>
      <w:spacing w:after="30" w:before="15" w:lineRule="auto"/>
      <w:jc w:val="center"/>
      <w:rPr>
        <w:rFonts w:ascii="Calibri" w:cs="Calibri" w:eastAsia="Calibri" w:hAnsi="Calibri"/>
        <w:i w:val="1"/>
        <w:iCs w:val="1"/>
        <w:color w:val="999999"/>
        <w:sz w:val="16"/>
        <w:szCs w:val="16"/>
      </w:rPr>
    </w:pPr>
    <w:r w:rsidDel="00000000" w:rsidR="00000000" w:rsidRPr="00000000">
      <w:rPr>
        <w:rFonts w:ascii="Calibri" w:cs="Calibri" w:eastAsia="Calibri" w:hAnsi="Calibri"/>
        <w:i w:val="1"/>
        <w:iCs w:val="1"/>
        <w:color w:val="999999"/>
        <w:sz w:val="16"/>
        <w:szCs w:val="16"/>
        <w:rtl w:val="0"/>
      </w:rPr>
      <w:t xml:space="preserve">V1-0226</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bCs w:val="1"/>
        <w:color w:val="999999"/>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30" w:before="15"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widowControl w:val="0"/>
      <w:spacing w:line="276" w:lineRule="auto"/>
      <w:rPr>
        <w:rFonts w:ascii="Calibri" w:cs="Calibri" w:eastAsia="Calibri" w:hAnsi="Calibri"/>
        <w:b w:val="1"/>
        <w:bCs w:val="1"/>
        <w:i w:val="1"/>
        <w:iCs w:val="1"/>
        <w:color w:val="1f497d"/>
        <w:sz w:val="2"/>
        <w:szCs w:val="2"/>
      </w:rPr>
    </w:pPr>
    <w:r w:rsidDel="00000000" w:rsidR="00000000" w:rsidRPr="00000000">
      <w:rPr>
        <w:rtl w:val="0"/>
      </w:rPr>
    </w:r>
  </w:p>
  <w:tbl>
    <w:tblPr>
      <w:tblStyle w:val="Table4"/>
      <w:tblpPr w:leftFromText="180" w:rightFromText="180" w:topFromText="180" w:bottomFromText="180" w:vertAnchor="text" w:horzAnchor="text" w:tblpX="0" w:tblpY="0"/>
      <w:tblW w:w="10680.0" w:type="dxa"/>
      <w:jc w:val="left"/>
      <w:tblInd w:w="30.0" w:type="dxa"/>
      <w:tblBorders>
        <w:top w:color="acd2cc" w:space="0" w:sz="8" w:val="single"/>
        <w:left w:color="acd2cc" w:space="0" w:sz="8" w:val="single"/>
        <w:bottom w:color="acd2cc" w:space="0" w:sz="8" w:val="single"/>
        <w:right w:color="acd2cc" w:space="0" w:sz="8" w:val="single"/>
        <w:insideH w:color="acd2cc" w:space="0" w:sz="8" w:val="single"/>
        <w:insideV w:color="acd2cc" w:space="0" w:sz="8" w:val="single"/>
      </w:tblBorders>
      <w:tblLayout w:type="fixed"/>
      <w:tblLook w:val="0600"/>
    </w:tblPr>
    <w:tblGrid>
      <w:gridCol w:w="2160"/>
      <w:gridCol w:w="8520"/>
      <w:tblGridChange w:id="0">
        <w:tblGrid>
          <w:gridCol w:w="2160"/>
          <w:gridCol w:w="8520"/>
        </w:tblGrid>
      </w:tblGridChange>
    </w:tblGrid>
    <w:tr>
      <w:trPr>
        <w:cantSplit w:val="0"/>
        <w:tblHeader w:val="0"/>
      </w:trPr>
      <w:tc>
        <w:tcPr>
          <w:tcBorders>
            <w:top w:color="acd2cc" w:space="0" w:sz="8" w:val="single"/>
            <w:left w:color="acd2cc" w:space="0" w:sz="8" w:val="single"/>
            <w:bottom w:color="acd2cc" w:space="0" w:sz="8" w:val="single"/>
            <w:right w:color="acd2cc" w:space="0" w:sz="8" w:val="single"/>
          </w:tcBorders>
          <w:shd w:fill="acd2cc" w:val="clear"/>
          <w:vAlign w:val="center"/>
        </w:tcPr>
        <w:p w:rsidR="00000000" w:rsidDel="00000000" w:rsidP="00000000" w:rsidRDefault="00000000" w:rsidRPr="00000000" w14:paraId="00000058">
          <w:pPr>
            <w:widowControl w:val="0"/>
            <w:spacing w:after="0" w:lineRule="auto"/>
            <w:rPr>
              <w:rFonts w:ascii="Calibri" w:cs="Calibri" w:eastAsia="Calibri" w:hAnsi="Calibri"/>
              <w:b w:val="1"/>
              <w:bCs w:val="1"/>
              <w:i w:val="1"/>
              <w:iCs w:val="1"/>
              <w:color w:val="1f497d"/>
              <w:sz w:val="22"/>
              <w:szCs w:val="22"/>
            </w:rPr>
          </w:pPr>
          <w:r w:rsidDel="00000000" w:rsidR="00000000" w:rsidRPr="00000000">
            <w:rPr>
              <w:rFonts w:ascii="Calibri" w:cs="Calibri" w:eastAsia="Calibri" w:hAnsi="Calibri"/>
              <w:b w:val="1"/>
              <w:bCs w:val="1"/>
              <w:i w:val="1"/>
              <w:iCs w:val="1"/>
              <w:color w:val="1f497d"/>
              <w:sz w:val="22"/>
              <w:szCs w:val="22"/>
            </w:rPr>
            <w:drawing>
              <wp:inline distB="114300" distT="114300" distL="114300" distR="114300">
                <wp:extent cx="1409700" cy="3683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9700" cy="368300"/>
                        </a:xfrm>
                        <a:prstGeom prst="rect"/>
                        <a:ln/>
                      </pic:spPr>
                    </pic:pic>
                  </a:graphicData>
                </a:graphic>
              </wp:inline>
            </w:drawing>
          </w:r>
          <w:r w:rsidDel="00000000" w:rsidR="00000000" w:rsidRPr="00000000">
            <w:rPr>
              <w:rtl w:val="0"/>
            </w:rPr>
          </w:r>
        </w:p>
      </w:tc>
      <w:tc>
        <w:tcPr>
          <w:tcBorders>
            <w:top w:color="acd2cc" w:space="0" w:sz="8" w:val="single"/>
            <w:left w:color="acd2cc" w:space="0" w:sz="8" w:val="single"/>
            <w:bottom w:color="acd2cc" w:space="0" w:sz="8" w:val="single"/>
            <w:right w:color="acd2cc" w:space="0" w:sz="8" w:val="single"/>
          </w:tcBorders>
          <w:shd w:fill="acd2cc" w:val="clear"/>
          <w:vAlign w:val="center"/>
        </w:tcPr>
        <w:p w:rsidR="00000000" w:rsidDel="00000000" w:rsidP="00000000" w:rsidRDefault="00000000" w:rsidRPr="00000000" w14:paraId="00000059">
          <w:pPr>
            <w:tabs>
              <w:tab w:val="center" w:leader="none" w:pos="4536"/>
              <w:tab w:val="right" w:leader="none" w:pos="9072"/>
            </w:tabs>
            <w:spacing w:after="0" w:lineRule="auto"/>
            <w:jc w:val="center"/>
            <w:rPr>
              <w:rFonts w:ascii="Arial" w:cs="Arial" w:eastAsia="Arial" w:hAnsi="Arial"/>
              <w:color w:val="ffffff"/>
              <w:sz w:val="16"/>
              <w:szCs w:val="16"/>
            </w:rPr>
          </w:pPr>
          <w:r w:rsidDel="00000000" w:rsidR="00000000" w:rsidRPr="00000000">
            <w:rPr>
              <w:rFonts w:ascii="Playfair Display SemiBold" w:cs="Playfair Display SemiBold" w:eastAsia="Playfair Display SemiBold" w:hAnsi="Playfair Display SemiBold"/>
              <w:color w:val="ffffff"/>
              <w:sz w:val="26"/>
              <w:szCs w:val="26"/>
              <w:rtl w:val="0"/>
            </w:rPr>
            <w:t xml:space="preserve">Programme de formation</w:t>
          </w:r>
          <w:r w:rsidDel="00000000" w:rsidR="00000000" w:rsidRPr="00000000">
            <w:rPr>
              <w:rtl w:val="0"/>
            </w:rPr>
          </w:r>
        </w:p>
      </w:tc>
    </w:tr>
  </w:tb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acd2c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CellMar>
        <w:top w:w="75.0" w:type="dxa"/>
        <w:left w:w="75.0" w:type="dxa"/>
        <w:bottom w:w="75.0" w:type="dxa"/>
        <w:right w:w="75.0" w:type="dxa"/>
      </w:tblCellMar>
    </w:tblPr>
  </w:style>
  <w:style w:type="table" w:styleId="Table3">
    <w:basedOn w:val="TableNormal"/>
    <w:tblPr>
      <w:tblStyleRowBandSize w:val="1"/>
      <w:tblStyleColBandSize w:val="1"/>
      <w:tblCellMar>
        <w:top w:w="75.0" w:type="dxa"/>
        <w:left w:w="75.0" w:type="dxa"/>
        <w:bottom w:w="75.0" w:type="dxa"/>
        <w:right w:w="7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gtal-consulting.fr/nos-formation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SemiBold-regular.ttf"/><Relationship Id="rId2" Type="http://schemas.openxmlformats.org/officeDocument/2006/relationships/font" Target="fonts/PlayfairDisplaySemiBold-bold.ttf"/><Relationship Id="rId3" Type="http://schemas.openxmlformats.org/officeDocument/2006/relationships/font" Target="fonts/PlayfairDisplaySemiBold-italic.ttf"/><Relationship Id="rId4" Type="http://schemas.openxmlformats.org/officeDocument/2006/relationships/font" Target="fonts/PlayfairDisplaySemiBol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dgtal-consulting.fr" TargetMode="External"/><Relationship Id="rId2" Type="http://schemas.openxmlformats.org/officeDocument/2006/relationships/hyperlink" Target="mailto:formation@dgtal-consulting.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gtal-consulting.fr" TargetMode="External"/><Relationship Id="rId2" Type="http://schemas.openxmlformats.org/officeDocument/2006/relationships/hyperlink" Target="mailto:formation@dgtal-consulting.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KyA+7VPZomsJA0mvsbYHip51A==">CgMxLjA4AHIhMXBETm80S05HNWVvem5QWlIzVVl2NjlPWlhPQVFjYkY4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